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367E3C" w:rsidRPr="002A283A">
        <w:rPr>
          <w:rFonts w:ascii="Garamond" w:hAnsi="Garamond"/>
          <w:bCs/>
        </w:rPr>
        <w:t xml:space="preserve">, w rodzaju </w:t>
      </w:r>
      <w:r w:rsidR="00811E84">
        <w:rPr>
          <w:rFonts w:ascii="Garamond" w:hAnsi="Garamond"/>
          <w:b/>
          <w:bCs/>
        </w:rPr>
        <w:t>lecznictwo ambulatoryjne</w:t>
      </w:r>
      <w:r w:rsidR="00A536D4" w:rsidRPr="002A283A">
        <w:rPr>
          <w:rFonts w:ascii="Garamond" w:hAnsi="Garamond"/>
          <w:bCs/>
        </w:rPr>
        <w:t xml:space="preserve">, </w:t>
      </w:r>
      <w:r w:rsidR="00367E3C" w:rsidRPr="002A283A">
        <w:rPr>
          <w:rFonts w:ascii="Garamond" w:hAnsi="Garamond"/>
          <w:bCs/>
        </w:rPr>
        <w:t xml:space="preserve"> </w:t>
      </w:r>
      <w:r w:rsidR="00367E3C" w:rsidRPr="002A283A">
        <w:rPr>
          <w:rFonts w:ascii="Garamond" w:hAnsi="Garamond"/>
          <w:bCs/>
        </w:rPr>
        <w:lastRenderedPageBreak/>
        <w:t xml:space="preserve">w zakresie </w:t>
      </w:r>
      <w:r w:rsidR="001431F4">
        <w:rPr>
          <w:rFonts w:ascii="Garamond" w:hAnsi="Garamond"/>
        </w:rPr>
        <w:t xml:space="preserve">udzielanie świadczeń </w:t>
      </w:r>
      <w:r w:rsidR="001431F4">
        <w:rPr>
          <w:rFonts w:ascii="Garamond" w:hAnsi="Garamond"/>
        </w:rPr>
        <w:t>-</w:t>
      </w:r>
      <w:r w:rsidR="001431F4">
        <w:rPr>
          <w:rFonts w:ascii="Garamond" w:hAnsi="Garamond"/>
        </w:rPr>
        <w:t xml:space="preserve">pełnienia obowiązków koordynatora Podstawowej Opieki </w:t>
      </w:r>
      <w:r w:rsidR="001431F4">
        <w:rPr>
          <w:rFonts w:ascii="Garamond" w:hAnsi="Garamond"/>
        </w:rPr>
        <w:t>Zdrowotnej Nocnej i Świątecznej.</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lastRenderedPageBreak/>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Cena – max. 60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Jakość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Kompleksowość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Dostępność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Ciągłość – max. 10 pkt. </w:t>
      </w:r>
    </w:p>
    <w:p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t xml:space="preserve">Razem max. do uzyskania: 100 pkt. </w:t>
      </w:r>
    </w:p>
    <w:p w:rsidR="00F407D6" w:rsidRPr="00A536D4" w:rsidRDefault="00F407D6" w:rsidP="00A536D4">
      <w:pPr>
        <w:pStyle w:val="Tekstpodstawowy2"/>
        <w:tabs>
          <w:tab w:val="num" w:pos="2912"/>
        </w:tabs>
        <w:spacing w:line="240" w:lineRule="auto"/>
        <w:rPr>
          <w:rFonts w:ascii="Garamond" w:hAnsi="Garamond" w:cs="Calibri"/>
          <w:color w:val="000000" w:themeColor="text1"/>
        </w:rPr>
      </w:pPr>
    </w:p>
    <w:p w:rsidR="00F407D6" w:rsidRPr="001431F4" w:rsidRDefault="00F407D6" w:rsidP="00767181">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00F624A6" w:rsidRPr="001431F4">
        <w:rPr>
          <w:rFonts w:ascii="Garamond" w:hAnsi="Garamond"/>
        </w:rPr>
        <w:t xml:space="preserve">za </w:t>
      </w:r>
      <w:r w:rsidR="00F624A6" w:rsidRPr="001431F4">
        <w:rPr>
          <w:rFonts w:ascii="Garamond" w:hAnsi="Garamond"/>
          <w:color w:val="000000"/>
        </w:rPr>
        <w:t>zrealizowane świadczenia zdrowotne (wy</w:t>
      </w:r>
      <w:r w:rsidR="001431F4">
        <w:rPr>
          <w:rFonts w:ascii="Garamond" w:hAnsi="Garamond"/>
          <w:color w:val="000000"/>
        </w:rPr>
        <w:t>konane usługi), w ramach Umowy.</w:t>
      </w:r>
    </w:p>
    <w:p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 x  100 x 0,6</w:t>
      </w:r>
    </w:p>
    <w:p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lastRenderedPageBreak/>
        <w:t>Cena badanej oferty</w:t>
      </w:r>
    </w:p>
    <w:p w:rsidR="00F407D6" w:rsidRPr="00A536D4"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
        <w:spacing w:line="240" w:lineRule="auto"/>
        <w:rPr>
          <w:rFonts w:ascii="Garamond" w:hAnsi="Garamond" w:cs="Calibri"/>
          <w:color w:val="000000" w:themeColor="text1"/>
        </w:rPr>
      </w:pPr>
      <w:r w:rsidRPr="00A536D4">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Pr="00A536D4">
        <w:rPr>
          <w:rFonts w:ascii="Garamond" w:hAnsi="Garamond" w:cs="Calibri"/>
          <w:color w:val="000000" w:themeColor="text1"/>
        </w:rPr>
        <w:t>, którym przyznaje się punkty w wysokości wskazanej poniżej:</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jakość – max.10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kompleksowość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dostępność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ciągłość – max. 10 pkt.</w:t>
      </w:r>
    </w:p>
    <w:p w:rsidR="00F407D6" w:rsidRPr="00A536D4" w:rsidRDefault="00F407D6" w:rsidP="00A536D4">
      <w:pPr>
        <w:pStyle w:val="Tekstpodstawowy21"/>
        <w:spacing w:line="240" w:lineRule="auto"/>
        <w:rPr>
          <w:rFonts w:ascii="Garamond" w:hAnsi="Garamond" w:cs="Calibri"/>
          <w:bCs/>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jakość Udzielający zamówienia przyznaje punkty za doświadczenie Przyjmującego zamówienie w udzielaniu świadczeń zdrowotnych stanowiących przedmiot  niniejszego postępowania, w następującej wysokości:</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poniżej 2</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2 – 5</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5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powyżej 5</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10 pkt</w:t>
      </w:r>
      <w:r w:rsidR="00F407D6" w:rsidRPr="00A536D4">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Pr="00A536D4">
        <w:rPr>
          <w:rFonts w:ascii="Garamond" w:hAnsi="Garamond" w:cs="Calibri"/>
          <w:b/>
          <w:color w:val="000000" w:themeColor="text1"/>
        </w:rPr>
        <w:t>5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t>Oceniając dostępność Udzielający zamówienia przyznaje punkty za gotowość Przyjmującego zamówienie do realizacji przedmiotu zamówienia we wskazanym zakresie:</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wyłącznie w  dni powszednie (poniedziałek – piątek)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  dni powszednie oraz w weekendy – </w:t>
      </w:r>
      <w:r w:rsidRPr="00A536D4">
        <w:rPr>
          <w:rFonts w:ascii="Garamond" w:hAnsi="Garamond" w:cs="Calibri"/>
          <w:b/>
          <w:color w:val="000000" w:themeColor="text1"/>
        </w:rPr>
        <w:t xml:space="preserve">5 pkt. </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(bez ograniczeń) w  dni powszednie, w weekendy, w dni ustawowo wolne od pracy – </w:t>
      </w:r>
      <w:r w:rsidRPr="00A536D4">
        <w:rPr>
          <w:rFonts w:ascii="Garamond" w:hAnsi="Garamond" w:cs="Calibri"/>
          <w:b/>
          <w:color w:val="000000" w:themeColor="text1"/>
        </w:rPr>
        <w:t>10 pkt.</w:t>
      </w:r>
    </w:p>
    <w:p w:rsidR="00F407D6" w:rsidRPr="00A536D4" w:rsidRDefault="00F407D6" w:rsidP="00A536D4">
      <w:pPr>
        <w:spacing w:line="240" w:lineRule="auto"/>
        <w:jc w:val="both"/>
        <w:rPr>
          <w:rFonts w:ascii="Garamond" w:hAnsi="Garamond" w:cs="Calibri"/>
          <w:color w:val="000000" w:themeColor="text1"/>
          <w:sz w:val="24"/>
          <w:szCs w:val="24"/>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lastRenderedPageBreak/>
        <w:t xml:space="preserve">Oceniając ciągłość Udzielający zamówienia przyznaje punkty za gotowość Przyjmującego zamówienie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opieki zdrowotnej objętych umową)</w:t>
      </w:r>
      <w:r w:rsidRPr="00A536D4">
        <w:rPr>
          <w:rFonts w:ascii="Garamond" w:hAnsi="Garamond" w:cs="Calibri"/>
          <w:color w:val="000000" w:themeColor="text1"/>
        </w:rPr>
        <w: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3 dni w jednym tygodniu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5 dni w jednym  tygodniu – </w:t>
      </w:r>
      <w:r w:rsidRPr="00A536D4">
        <w:rPr>
          <w:rFonts w:ascii="Garamond" w:hAnsi="Garamond" w:cs="Calibri"/>
          <w:b/>
          <w:color w:val="000000" w:themeColor="text1"/>
        </w:rPr>
        <w:t>5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7 dni w każdym tygodniu (bez ograniczeń) – </w:t>
      </w:r>
      <w:r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Maksymalnie, za wszystkie łącznie kryteria (opisane w pkt. a – d) uzyskać maksymalnie można 40 punktów.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A536D4" w:rsidRDefault="00F407D6" w:rsidP="00A536D4">
      <w:pPr>
        <w:pStyle w:val="Tekstpodstawowy2"/>
        <w:spacing w:line="240" w:lineRule="auto"/>
        <w:ind w:left="284"/>
        <w:rPr>
          <w:rFonts w:ascii="Garamond" w:hAnsi="Garamond" w:cs="Calibri"/>
          <w:color w:val="000000" w:themeColor="text1"/>
        </w:rPr>
      </w:pPr>
    </w:p>
    <w:p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t>Najkorzystniejszą ofertą będzie oferta, która uzyska najwyższą liczbę punktów, za wszystkie ocenione łącznie kryteria.</w:t>
      </w:r>
    </w:p>
    <w:p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4" w:name="mip12189274"/>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F624A6" w:rsidRPr="00CE590A" w:rsidRDefault="00F624A6" w:rsidP="00F624A6">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lastRenderedPageBreak/>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01 stycznia 2019 r. do 31 grudnia 2021 roku </w:t>
      </w:r>
      <w:r w:rsidR="002A283A" w:rsidRPr="002A283A">
        <w:rPr>
          <w:rFonts w:ascii="Garamond" w:hAnsi="Garamond"/>
          <w:b/>
          <w:sz w:val="24"/>
          <w:szCs w:val="24"/>
        </w:rPr>
        <w:t xml:space="preserve">nie później jednak niż do dnia zakończenia obowiązywania umowy o udzielanie świadczeń opieki zdrowotnej w danym </w:t>
      </w:r>
      <w:r w:rsidR="001431F4">
        <w:rPr>
          <w:rFonts w:ascii="Garamond" w:hAnsi="Garamond"/>
          <w:b/>
          <w:sz w:val="24"/>
          <w:szCs w:val="24"/>
        </w:rPr>
        <w:t>zakresie z NFZ lub jego następcą</w:t>
      </w:r>
      <w:r w:rsidR="002A283A" w:rsidRPr="002A283A">
        <w:rPr>
          <w:rFonts w:ascii="Garamond" w:hAnsi="Garamond"/>
          <w:b/>
          <w:sz w:val="24"/>
          <w:szCs w:val="24"/>
        </w:rPr>
        <w:t xml:space="preserve">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bookmarkStart w:id="11" w:name="_GoBack"/>
      <w:bookmarkEnd w:id="11"/>
      <w:r w:rsidR="001431F4">
        <w:rPr>
          <w:rFonts w:ascii="Garamond" w:hAnsi="Garamond"/>
          <w:sz w:val="24"/>
          <w:szCs w:val="24"/>
        </w:rPr>
        <w:t>02 października</w:t>
      </w:r>
      <w:r w:rsidR="00DD3896">
        <w:rPr>
          <w:rFonts w:ascii="Garamond" w:hAnsi="Garamond"/>
          <w:sz w:val="24"/>
          <w:szCs w:val="24"/>
        </w:rPr>
        <w:t xml:space="preserve"> 2018 r.</w:t>
      </w: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Pr="00AA6398" w:rsidRDefault="00E55F55" w:rsidP="00E55F55">
      <w:pPr>
        <w:spacing w:after="0" w:line="264" w:lineRule="auto"/>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jc w:val="center"/>
        <w:rPr>
          <w:rFonts w:ascii="Garamond" w:hAnsi="Garamond"/>
          <w:b/>
          <w:sz w:val="24"/>
          <w:szCs w:val="24"/>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lastRenderedPageBreak/>
        <w:t>OZNACZENIE OFERTY/ UZUPEŁNIENIA OFERTY/ WYCOFANIA OFERTY*</w:t>
      </w:r>
    </w:p>
    <w:p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rsidTr="004A443A">
        <w:tc>
          <w:tcPr>
            <w:tcW w:w="8592" w:type="dxa"/>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E55F55" w:rsidRPr="00AA6398" w:rsidRDefault="00E55F55" w:rsidP="004A443A">
            <w:pPr>
              <w:tabs>
                <w:tab w:val="num" w:pos="1134"/>
              </w:tabs>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E55F55" w:rsidRPr="00AA6398" w:rsidTr="004A443A">
        <w:trPr>
          <w:trHeight w:val="1156"/>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029"/>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339"/>
        </w:trPr>
        <w:tc>
          <w:tcPr>
            <w:tcW w:w="8592" w:type="dxa"/>
            <w:vAlign w:val="bottom"/>
          </w:tcPr>
          <w:p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ind w:left="426"/>
        <w:jc w:val="both"/>
        <w:rPr>
          <w:rFonts w:ascii="Garamond" w:hAnsi="Garamond"/>
          <w:sz w:val="24"/>
          <w:szCs w:val="24"/>
        </w:rPr>
      </w:pPr>
    </w:p>
    <w:p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4"/>
          <w:szCs w:val="24"/>
        </w:rPr>
      </w:pPr>
    </w:p>
    <w:p w:rsidR="00E55F55" w:rsidRDefault="00E55F55" w:rsidP="00E55F55">
      <w:pPr>
        <w:pStyle w:val="Bezodstpw"/>
        <w:jc w:val="both"/>
        <w:rPr>
          <w:rFonts w:ascii="Garamond" w:hAnsi="Garamond"/>
          <w:sz w:val="24"/>
          <w:szCs w:val="24"/>
        </w:rPr>
      </w:pPr>
    </w:p>
    <w:p w:rsidR="002A283A" w:rsidRDefault="002A283A" w:rsidP="00E55F55">
      <w:pPr>
        <w:pStyle w:val="Bezodstpw"/>
        <w:jc w:val="both"/>
        <w:rPr>
          <w:rFonts w:ascii="Garamond" w:hAnsi="Garamond"/>
          <w:sz w:val="24"/>
          <w:szCs w:val="24"/>
        </w:rPr>
      </w:pPr>
    </w:p>
    <w:p w:rsidR="002A283A" w:rsidRPr="00AA6398" w:rsidRDefault="002A283A" w:rsidP="00E55F55">
      <w:pPr>
        <w:pStyle w:val="Bezodstpw"/>
        <w:jc w:val="both"/>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pStyle w:val="Rozdzia"/>
        <w:spacing w:line="240" w:lineRule="auto"/>
        <w:jc w:val="right"/>
        <w:rPr>
          <w:rFonts w:ascii="Garamond" w:hAnsi="Garamond" w:cs="Times New Roman"/>
          <w:sz w:val="20"/>
          <w:szCs w:val="20"/>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lastRenderedPageBreak/>
        <w:t>POTWIERDZENIE ZŁOŻENIA OFERTY/ UZUPEŁNIENIA OFERTY/ WYCOFANIA OFERTY*</w:t>
      </w:r>
    </w:p>
    <w:p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rsidTr="004A443A">
        <w:tc>
          <w:tcPr>
            <w:tcW w:w="8592" w:type="dxa"/>
            <w:gridSpan w:val="2"/>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rsidR="00E55F55" w:rsidRPr="00AA6398" w:rsidRDefault="00E55F55" w:rsidP="004A443A">
            <w:pPr>
              <w:tabs>
                <w:tab w:val="num" w:pos="1134"/>
              </w:tabs>
              <w:spacing w:after="0"/>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rsidTr="004A443A">
        <w:trPr>
          <w:trHeight w:val="1674"/>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rsidTr="004A443A">
        <w:trPr>
          <w:trHeight w:val="855"/>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rsidTr="004A443A">
        <w:trPr>
          <w:trHeight w:val="842"/>
        </w:trPr>
        <w:tc>
          <w:tcPr>
            <w:tcW w:w="4466" w:type="dxa"/>
            <w:vAlign w:val="bottom"/>
          </w:tcPr>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rsidTr="004A443A">
        <w:trPr>
          <w:cantSplit/>
          <w:trHeight w:val="1476"/>
        </w:trPr>
        <w:tc>
          <w:tcPr>
            <w:tcW w:w="8592" w:type="dxa"/>
            <w:gridSpan w:val="2"/>
            <w:vAlign w:val="bottom"/>
          </w:tcPr>
          <w:p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E55F55" w:rsidRPr="00AA6398" w:rsidRDefault="00E55F55" w:rsidP="004A443A">
            <w:pPr>
              <w:tabs>
                <w:tab w:val="left" w:pos="900"/>
              </w:tabs>
              <w:spacing w:after="0" w:line="240" w:lineRule="auto"/>
              <w:jc w:val="center"/>
              <w:rPr>
                <w:rFonts w:ascii="Garamond" w:hAnsi="Garamond"/>
                <w:sz w:val="24"/>
                <w:szCs w:val="24"/>
              </w:rPr>
            </w:pP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E55F55" w:rsidRPr="00CE590A" w:rsidRDefault="00E55F55" w:rsidP="00DD3896">
      <w:pPr>
        <w:spacing w:after="0" w:line="264" w:lineRule="auto"/>
        <w:rPr>
          <w:rFonts w:ascii="Garamond" w:hAnsi="Garamond"/>
          <w:sz w:val="24"/>
          <w:szCs w:val="24"/>
        </w:rPr>
      </w:pPr>
    </w:p>
    <w:sectPr w:rsidR="00E55F55"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80F1A"/>
    <w:rsid w:val="000C6A88"/>
    <w:rsid w:val="000D143B"/>
    <w:rsid w:val="0011269C"/>
    <w:rsid w:val="00114A44"/>
    <w:rsid w:val="001333F7"/>
    <w:rsid w:val="001431F4"/>
    <w:rsid w:val="00150F2C"/>
    <w:rsid w:val="0017087A"/>
    <w:rsid w:val="00195E0C"/>
    <w:rsid w:val="002110DF"/>
    <w:rsid w:val="002210A3"/>
    <w:rsid w:val="00244A15"/>
    <w:rsid w:val="002641A3"/>
    <w:rsid w:val="002641D2"/>
    <w:rsid w:val="002A283A"/>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1E84"/>
    <w:rsid w:val="00815168"/>
    <w:rsid w:val="008355E8"/>
    <w:rsid w:val="00841F21"/>
    <w:rsid w:val="008522A7"/>
    <w:rsid w:val="00875EE3"/>
    <w:rsid w:val="008A6F51"/>
    <w:rsid w:val="008C0FB4"/>
    <w:rsid w:val="008F1BD0"/>
    <w:rsid w:val="0094737B"/>
    <w:rsid w:val="009A1E30"/>
    <w:rsid w:val="009B3DF7"/>
    <w:rsid w:val="009C0516"/>
    <w:rsid w:val="009C2A3A"/>
    <w:rsid w:val="009F2A20"/>
    <w:rsid w:val="00A0773A"/>
    <w:rsid w:val="00A377E4"/>
    <w:rsid w:val="00A536D4"/>
    <w:rsid w:val="00AB4E2B"/>
    <w:rsid w:val="00AD0066"/>
    <w:rsid w:val="00B82A29"/>
    <w:rsid w:val="00BA00AA"/>
    <w:rsid w:val="00BF3D4C"/>
    <w:rsid w:val="00C07679"/>
    <w:rsid w:val="00C40693"/>
    <w:rsid w:val="00C443FC"/>
    <w:rsid w:val="00C7628D"/>
    <w:rsid w:val="00C81530"/>
    <w:rsid w:val="00C93A57"/>
    <w:rsid w:val="00C93B6D"/>
    <w:rsid w:val="00CA5B26"/>
    <w:rsid w:val="00CC27AF"/>
    <w:rsid w:val="00CD1282"/>
    <w:rsid w:val="00CE590A"/>
    <w:rsid w:val="00D0377A"/>
    <w:rsid w:val="00D17F52"/>
    <w:rsid w:val="00D57BCD"/>
    <w:rsid w:val="00D67875"/>
    <w:rsid w:val="00D930A9"/>
    <w:rsid w:val="00DB4100"/>
    <w:rsid w:val="00DB5A67"/>
    <w:rsid w:val="00DD3896"/>
    <w:rsid w:val="00DD54E3"/>
    <w:rsid w:val="00DD5AB9"/>
    <w:rsid w:val="00E05BDF"/>
    <w:rsid w:val="00E43F5B"/>
    <w:rsid w:val="00E51237"/>
    <w:rsid w:val="00E55F55"/>
    <w:rsid w:val="00E9494C"/>
    <w:rsid w:val="00EA30D5"/>
    <w:rsid w:val="00EA37FE"/>
    <w:rsid w:val="00EB34CD"/>
    <w:rsid w:val="00EF0AC4"/>
    <w:rsid w:val="00F407D6"/>
    <w:rsid w:val="00F624A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3181</Words>
  <Characters>19086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2</cp:revision>
  <dcterms:created xsi:type="dcterms:W3CDTF">2018-10-03T06:06:00Z</dcterms:created>
  <dcterms:modified xsi:type="dcterms:W3CDTF">2018-10-03T06:06:00Z</dcterms:modified>
</cp:coreProperties>
</file>